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5EE7C" w14:textId="77777777" w:rsidR="00893A29" w:rsidRPr="00A9207F" w:rsidRDefault="00000000">
      <w:pPr>
        <w:spacing w:before="200" w:after="200" w:line="320" w:lineRule="auto"/>
        <w:jc w:val="center"/>
      </w:pPr>
      <w:r w:rsidRPr="00A9207F">
        <w:rPr>
          <w:b/>
          <w:bCs/>
        </w:rPr>
        <w:t>AI-Enabled Ayurveda: Advancing Patient Care, Research Methodologies, and Digital Tooling Development</w:t>
      </w:r>
    </w:p>
    <w:p w14:paraId="098ADFB8" w14:textId="77777777" w:rsidR="00893A29" w:rsidRPr="00A9207F" w:rsidRDefault="00000000">
      <w:pPr>
        <w:spacing w:before="200" w:after="100" w:line="300" w:lineRule="auto"/>
        <w:jc w:val="center"/>
      </w:pPr>
      <w:r w:rsidRPr="00A9207F">
        <w:t>Dr. Sudev C</w:t>
      </w:r>
      <w:r w:rsidRPr="00A9207F">
        <w:rPr>
          <w:vertAlign w:val="superscript"/>
        </w:rPr>
        <w:t>1</w:t>
      </w:r>
    </w:p>
    <w:p w14:paraId="2FB55310" w14:textId="77777777" w:rsidR="00893A29" w:rsidRPr="00A9207F" w:rsidRDefault="00000000">
      <w:pPr>
        <w:spacing w:before="60" w:after="40" w:line="280" w:lineRule="auto"/>
        <w:jc w:val="center"/>
      </w:pPr>
      <w:r w:rsidRPr="00A9207F">
        <w:rPr>
          <w:vertAlign w:val="superscript"/>
        </w:rPr>
        <w:t>1</w:t>
      </w:r>
      <w:r w:rsidRPr="00A9207F">
        <w:t xml:space="preserve"> PhD Scholar, </w:t>
      </w:r>
      <w:proofErr w:type="spellStart"/>
      <w:r w:rsidRPr="00A9207F">
        <w:t>Glocal</w:t>
      </w:r>
      <w:proofErr w:type="spellEnd"/>
      <w:r w:rsidRPr="00A9207F">
        <w:t xml:space="preserve"> Ayurveda College and Research Centre, Uttar Pradesh – 247121, India. Email: sudevc@gmail.com</w:t>
      </w:r>
    </w:p>
    <w:p w14:paraId="5A404FA6" w14:textId="77777777" w:rsidR="00893A29" w:rsidRPr="00A9207F" w:rsidRDefault="00000000">
      <w:pPr>
        <w:spacing w:before="200" w:after="120" w:line="280" w:lineRule="auto"/>
        <w:jc w:val="both"/>
        <w:rPr>
          <w:b/>
          <w:bCs/>
        </w:rPr>
      </w:pPr>
      <w:r w:rsidRPr="00A9207F">
        <w:rPr>
          <w:b/>
          <w:bCs/>
        </w:rPr>
        <w:t xml:space="preserve">Abstract  </w:t>
      </w:r>
    </w:p>
    <w:p w14:paraId="5956748F" w14:textId="09593CE6" w:rsidR="00893A29" w:rsidRPr="00A9207F" w:rsidRDefault="00000000">
      <w:pPr>
        <w:spacing w:before="200" w:after="120" w:line="280" w:lineRule="auto"/>
        <w:jc w:val="both"/>
      </w:pPr>
      <w:r w:rsidRPr="00A9207F">
        <w:rPr>
          <w:b/>
          <w:bCs/>
        </w:rPr>
        <w:t>Background:</w:t>
      </w:r>
      <w:r w:rsidR="00A9207F">
        <w:t xml:space="preserve"> </w:t>
      </w:r>
      <w:r w:rsidRPr="00A9207F">
        <w:t xml:space="preserve">Ayurveda is a living medical tradition, rich in clinical insight, that in its contemporary practice continues to contend with observer-dependent assessment, heterogeneous documentation, and limited scalability for population-level research. Although these structural features are inseparable from the </w:t>
      </w:r>
      <w:proofErr w:type="spellStart"/>
      <w:r w:rsidRPr="00A9207F">
        <w:t>individualised</w:t>
      </w:r>
      <w:proofErr w:type="spellEnd"/>
      <w:r w:rsidRPr="00A9207F">
        <w:t xml:space="preserve"> character of the system, they have historically hampered its assimilation into evidence-based integrative medicine.</w:t>
      </w:r>
    </w:p>
    <w:p w14:paraId="15B307C2" w14:textId="167E55E7" w:rsidR="00893A29" w:rsidRPr="00A9207F" w:rsidRDefault="00000000">
      <w:pPr>
        <w:spacing w:before="200" w:after="120" w:line="280" w:lineRule="auto"/>
        <w:jc w:val="both"/>
      </w:pPr>
      <w:r w:rsidRPr="00A9207F">
        <w:rPr>
          <w:b/>
          <w:bCs/>
        </w:rPr>
        <w:t>Purpose</w:t>
      </w:r>
      <w:r w:rsidR="00A9207F">
        <w:rPr>
          <w:b/>
          <w:bCs/>
        </w:rPr>
        <w:t xml:space="preserve">: </w:t>
      </w:r>
      <w:r w:rsidRPr="00A9207F">
        <w:t>In this paper, we propose a conceptual framework for incorporating Artificial Intelligence (AI) into Ayurvedic clinical care, research methodology and digital tools, while retaining the holistic and traditional roots of the system.</w:t>
      </w:r>
    </w:p>
    <w:p w14:paraId="1E654F23" w14:textId="31F7AAEE" w:rsidR="00893A29" w:rsidRPr="00A9207F" w:rsidRDefault="00000000">
      <w:pPr>
        <w:spacing w:before="200" w:after="120" w:line="280" w:lineRule="auto"/>
        <w:jc w:val="both"/>
      </w:pPr>
      <w:r w:rsidRPr="00A9207F">
        <w:rPr>
          <w:b/>
          <w:bCs/>
        </w:rPr>
        <w:t>Approach</w:t>
      </w:r>
      <w:r w:rsidR="00A9207F">
        <w:rPr>
          <w:b/>
          <w:bCs/>
        </w:rPr>
        <w:t>:</w:t>
      </w:r>
      <w:r w:rsidRPr="00A9207F">
        <w:t xml:space="preserve"> It describes a layered architecture that integrates literature mining and Natural Language Processing of classical texts, supervised and unsupervised machine learning on integrated clinical and laboratory datasets and physiological signal acquisition from wearable devices. Sample use-cases include AI-aided Nadi </w:t>
      </w:r>
      <w:proofErr w:type="spellStart"/>
      <w:r w:rsidRPr="00A9207F">
        <w:t>pariksha</w:t>
      </w:r>
      <w:proofErr w:type="spellEnd"/>
      <w:r w:rsidRPr="00A9207F">
        <w:t xml:space="preserve"> (pulse diagnosis), </w:t>
      </w:r>
      <w:proofErr w:type="spellStart"/>
      <w:r w:rsidRPr="00A9207F">
        <w:t>Jihva</w:t>
      </w:r>
      <w:proofErr w:type="spellEnd"/>
      <w:r w:rsidRPr="00A9207F">
        <w:t xml:space="preserve"> </w:t>
      </w:r>
      <w:proofErr w:type="spellStart"/>
      <w:r w:rsidRPr="00A9207F">
        <w:t>pariksha</w:t>
      </w:r>
      <w:proofErr w:type="spellEnd"/>
      <w:r w:rsidRPr="00A9207F">
        <w:t xml:space="preserve"> (tongue diagnosis), facial and constitutional assessment, EMR-based predictive modelling, and continuous tracking of Dosha-associated physiological markers.</w:t>
      </w:r>
    </w:p>
    <w:p w14:paraId="38CFA785" w14:textId="5CC34D9B" w:rsidR="00893A29" w:rsidRPr="00A9207F" w:rsidRDefault="00000000" w:rsidP="00A9207F">
      <w:pPr>
        <w:spacing w:before="200" w:after="120" w:line="280" w:lineRule="auto"/>
        <w:jc w:val="both"/>
      </w:pPr>
      <w:r w:rsidRPr="00A9207F">
        <w:rPr>
          <w:b/>
          <w:bCs/>
        </w:rPr>
        <w:t>Results</w:t>
      </w:r>
      <w:r w:rsidR="00A9207F">
        <w:rPr>
          <w:b/>
          <w:bCs/>
        </w:rPr>
        <w:t xml:space="preserve">: </w:t>
      </w:r>
      <w:r w:rsidRPr="00A9207F">
        <w:t xml:space="preserve">Conceptual evaluation suggests that thoughtfully designed AI systems can improve diagnostic consistency, anticipate treatment responses and </w:t>
      </w:r>
      <w:proofErr w:type="spellStart"/>
      <w:r w:rsidRPr="00A9207F">
        <w:t>standardise</w:t>
      </w:r>
      <w:proofErr w:type="spellEnd"/>
      <w:r w:rsidRPr="00A9207F">
        <w:t xml:space="preserve"> data capture for multi-</w:t>
      </w:r>
      <w:proofErr w:type="spellStart"/>
      <w:r w:rsidRPr="00A9207F">
        <w:t>centre</w:t>
      </w:r>
      <w:proofErr w:type="spellEnd"/>
      <w:r w:rsidRPr="00A9207F">
        <w:t xml:space="preserve"> research. The tooling proposed supports an iterative learning loop whereby longitudinal clinical outcomes are used to refine model </w:t>
      </w:r>
      <w:proofErr w:type="spellStart"/>
      <w:r w:rsidRPr="00A9207F">
        <w:t>behaviour</w:t>
      </w:r>
      <w:proofErr w:type="spellEnd"/>
      <w:r w:rsidRPr="00A9207F">
        <w:t>, leading to increasing predictive accuracy and personalization over time.</w:t>
      </w:r>
    </w:p>
    <w:p w14:paraId="54122D72" w14:textId="2D79D1D3" w:rsidR="00893A29" w:rsidRPr="00A9207F" w:rsidRDefault="00000000">
      <w:pPr>
        <w:spacing w:before="200" w:after="120" w:line="280" w:lineRule="auto"/>
        <w:jc w:val="both"/>
      </w:pPr>
      <w:r w:rsidRPr="00A9207F">
        <w:rPr>
          <w:b/>
          <w:bCs/>
        </w:rPr>
        <w:t>Conclusion</w:t>
      </w:r>
      <w:r w:rsidR="00A9207F" w:rsidRPr="00A9207F">
        <w:rPr>
          <w:b/>
          <w:bCs/>
        </w:rPr>
        <w:t>:</w:t>
      </w:r>
      <w:r w:rsidRPr="00A9207F">
        <w:t xml:space="preserve"> Expected benefits — safer therapy, reproducible research, and time-efficient practice — are real but hinge on honest engagement with issues of data privacy, algorithmic bias, and culturally informed validation. Clinically meaningful and ethically defensible systems will require sustained collaboration between </w:t>
      </w:r>
      <w:proofErr w:type="spellStart"/>
      <w:r w:rsidRPr="00A9207F">
        <w:t>Vaidyas</w:t>
      </w:r>
      <w:proofErr w:type="spellEnd"/>
      <w:r w:rsidRPr="00A9207F">
        <w:t>, data scientists, ethicists, and regulators.</w:t>
      </w:r>
    </w:p>
    <w:p w14:paraId="58665A16" w14:textId="77777777" w:rsidR="00893A29" w:rsidRPr="00A9207F" w:rsidRDefault="00000000">
      <w:pPr>
        <w:spacing w:before="200" w:after="120" w:line="280" w:lineRule="auto"/>
        <w:jc w:val="both"/>
      </w:pPr>
      <w:r w:rsidRPr="00A9207F">
        <w:rPr>
          <w:b/>
          <w:bCs/>
        </w:rPr>
        <w:t>Keywords:</w:t>
      </w:r>
      <w:r w:rsidRPr="00A9207F">
        <w:t xml:space="preserve"> AI Ayurveda, Artificial Intelligence, Predictive Analytics, Dosha, Prakriti, Machine Learning, Digital Health, Integrative Medicine.</w:t>
      </w:r>
    </w:p>
    <w:p w14:paraId="5F243F27" w14:textId="77777777" w:rsidR="00A9207F" w:rsidRDefault="00A9207F">
      <w:pPr>
        <w:spacing w:before="200" w:after="120" w:line="280" w:lineRule="auto"/>
        <w:jc w:val="both"/>
      </w:pPr>
    </w:p>
    <w:p w14:paraId="7CB2ED6F" w14:textId="7F4D9A45" w:rsidR="00893A29" w:rsidRPr="00A9207F" w:rsidRDefault="00000000">
      <w:pPr>
        <w:spacing w:before="200" w:after="120" w:line="280" w:lineRule="auto"/>
        <w:jc w:val="both"/>
        <w:rPr>
          <w:b/>
          <w:bCs/>
        </w:rPr>
      </w:pPr>
      <w:r w:rsidRPr="00A9207F">
        <w:rPr>
          <w:b/>
          <w:bCs/>
        </w:rPr>
        <w:lastRenderedPageBreak/>
        <w:t>Introduction</w:t>
      </w:r>
    </w:p>
    <w:p w14:paraId="2DD94DA3" w14:textId="0C979F33" w:rsidR="00893A29" w:rsidRPr="00A9207F" w:rsidRDefault="00000000" w:rsidP="00A9207F">
      <w:pPr>
        <w:spacing w:before="200" w:after="120" w:line="280" w:lineRule="auto"/>
        <w:ind w:firstLine="720"/>
        <w:jc w:val="both"/>
      </w:pPr>
      <w:r w:rsidRPr="00A9207F">
        <w:t xml:space="preserve">Ayurveda, one of the oldest continuously </w:t>
      </w:r>
      <w:proofErr w:type="spellStart"/>
      <w:r w:rsidRPr="00A9207F">
        <w:t>practised</w:t>
      </w:r>
      <w:proofErr w:type="spellEnd"/>
      <w:r w:rsidRPr="00A9207F">
        <w:t xml:space="preserve"> medical systems in the world, has been passed down through an unbroken clinical lineage for more than two millennia. Its theoretical structure, based on the </w:t>
      </w:r>
      <w:proofErr w:type="spellStart"/>
      <w:r w:rsidRPr="00A9207F">
        <w:t>tridosha</w:t>
      </w:r>
      <w:proofErr w:type="spellEnd"/>
      <w:r w:rsidRPr="00A9207F">
        <w:t xml:space="preserve"> concept, the </w:t>
      </w:r>
      <w:proofErr w:type="spellStart"/>
      <w:r w:rsidRPr="00A9207F">
        <w:t>panchamahabhuta</w:t>
      </w:r>
      <w:proofErr w:type="spellEnd"/>
      <w:r w:rsidRPr="00A9207F">
        <w:t xml:space="preserve"> principle and a highly </w:t>
      </w:r>
      <w:proofErr w:type="spellStart"/>
      <w:r w:rsidRPr="00A9207F">
        <w:t>individualised</w:t>
      </w:r>
      <w:proofErr w:type="spellEnd"/>
      <w:r w:rsidRPr="00A9207F">
        <w:t xml:space="preserve"> view of health as a dynamic equilibrium of body, mind and environment, has long demonstrated therapeutic relevance far beyond the geographical confines of the Indian subcontinent. However, the qualities that make Ayurveda clinically unique – its subjective examination, narrative case documentation and </w:t>
      </w:r>
      <w:proofErr w:type="spellStart"/>
      <w:r w:rsidRPr="00A9207F">
        <w:t>individualised</w:t>
      </w:r>
      <w:proofErr w:type="spellEnd"/>
      <w:r w:rsidRPr="00A9207F">
        <w:t xml:space="preserve"> therapeutic logic – pose enduring problems when the discipline is evaluated against modern standards of evidence-based medicine.</w:t>
      </w:r>
    </w:p>
    <w:p w14:paraId="60946B04" w14:textId="5CAEE21C" w:rsidR="00893A29" w:rsidRPr="00A9207F" w:rsidRDefault="00000000" w:rsidP="00A9207F">
      <w:pPr>
        <w:spacing w:before="200" w:after="120" w:line="280" w:lineRule="auto"/>
        <w:ind w:firstLine="720"/>
        <w:jc w:val="both"/>
      </w:pPr>
      <w:r w:rsidRPr="00A9207F">
        <w:t xml:space="preserve">Three structural limitations recur in contemporary Ayurvedic practice and scholarship. The diagnostic assessment, while very informative in the hands of a skilled practitioner, remains dependent on the observer and therefore varies between practitioners. Clinical documentation is heterogeneous, often unstructured and ill-suited for large-scale aggregation. Classical scriptural knowledge is rich but only partially </w:t>
      </w:r>
      <w:r w:rsidR="00A9207F" w:rsidRPr="00A9207F">
        <w:t>indexed and</w:t>
      </w:r>
      <w:r w:rsidRPr="00A9207F">
        <w:t xml:space="preserve"> therefore </w:t>
      </w:r>
      <w:r w:rsidR="00A9207F" w:rsidRPr="00A9207F">
        <w:t>under-utilized</w:t>
      </w:r>
      <w:r w:rsidRPr="00A9207F">
        <w:t xml:space="preserve"> for systematic literature-based discovery. These three constraints—subjectivity, documentary inconsistency, and limited scalability—together limit the rate at which Ayurveda can generate the type of multi-</w:t>
      </w:r>
      <w:proofErr w:type="spellStart"/>
      <w:r w:rsidRPr="00A9207F">
        <w:t>centre</w:t>
      </w:r>
      <w:proofErr w:type="spellEnd"/>
      <w:r w:rsidRPr="00A9207F">
        <w:t>, reproducible evidence increasingly demanded by modern integrative medicine.</w:t>
      </w:r>
    </w:p>
    <w:p w14:paraId="2BBECB78" w14:textId="3C253F30" w:rsidR="00893A29" w:rsidRPr="00A9207F" w:rsidRDefault="00000000" w:rsidP="00A9207F">
      <w:pPr>
        <w:spacing w:before="200" w:after="120" w:line="280" w:lineRule="auto"/>
        <w:ind w:firstLine="720"/>
        <w:jc w:val="both"/>
      </w:pPr>
      <w:r w:rsidRPr="00A9207F">
        <w:t>In this context, the fast-growing Artificial Intelligence (AI) over the last decade is a real opportunity. Machine learning has already started to revolutionize radiological interpretation, drug-discovery pipelines, and disease-risk stratification in allopathic medicine. The same computational tools – image recognition, natural language processing, predictive modelling, sensor-driven physiological monitoring – apply equally to the diagnostic gestures and therapeutic reasoning of Ayurveda, provided they are constructed with an understanding of the system’s underlying epistemology.</w:t>
      </w:r>
    </w:p>
    <w:p w14:paraId="318D0427" w14:textId="7BF5E74E" w:rsidR="00893A29" w:rsidRPr="00A9207F" w:rsidRDefault="00000000" w:rsidP="00A9207F">
      <w:pPr>
        <w:spacing w:before="200" w:after="120" w:line="280" w:lineRule="auto"/>
        <w:ind w:firstLine="720"/>
        <w:jc w:val="both"/>
      </w:pPr>
      <w:r w:rsidRPr="00A9207F">
        <w:t xml:space="preserve">In this paper, we argue that AI should be perceived as a facilitator of Ayurvedic wisdom and not as a substitute to it. The aim is not to </w:t>
      </w:r>
      <w:proofErr w:type="spellStart"/>
      <w:r w:rsidRPr="00A9207F">
        <w:t>mechanise</w:t>
      </w:r>
      <w:proofErr w:type="spellEnd"/>
      <w:r w:rsidRPr="00A9207F">
        <w:t xml:space="preserve"> the clinical encounter, but to give it the precision, reproducibility and population-level reach that classical Vaidya practice could not, on its own, attain. The subsequent sections discuss four fronts of immediate promise: AI-assisted Dosha based diagnostics at clinical scale; standardized computational analysis of classical Ayurvedic literature; real-time monitoring of patients using wearable and sensor technology; </w:t>
      </w:r>
      <w:proofErr w:type="gramStart"/>
      <w:r w:rsidRPr="00A9207F">
        <w:t>and,</w:t>
      </w:r>
      <w:proofErr w:type="gramEnd"/>
      <w:r w:rsidRPr="00A9207F">
        <w:t xml:space="preserve"> enhanced reproducibility of Ayurvedic research for global scientific validation. These themes together sketch the program for the rest of the discussion.</w:t>
      </w:r>
    </w:p>
    <w:p w14:paraId="376E66B5" w14:textId="70BE78F5" w:rsidR="00893A29" w:rsidRPr="00A9207F" w:rsidRDefault="00000000">
      <w:pPr>
        <w:spacing w:before="200" w:after="120" w:line="280" w:lineRule="auto"/>
        <w:jc w:val="both"/>
        <w:rPr>
          <w:b/>
          <w:bCs/>
        </w:rPr>
      </w:pPr>
      <w:r w:rsidRPr="00A9207F">
        <w:rPr>
          <w:b/>
          <w:bCs/>
        </w:rPr>
        <w:t>Artificial Intelligence in Clinical Practice</w:t>
      </w:r>
    </w:p>
    <w:p w14:paraId="17591CBE" w14:textId="13A43CD6" w:rsidR="00893A29" w:rsidRPr="00A9207F" w:rsidRDefault="00000000" w:rsidP="00A9207F">
      <w:pPr>
        <w:spacing w:before="200" w:after="120" w:line="280" w:lineRule="auto"/>
        <w:ind w:firstLine="720"/>
        <w:jc w:val="both"/>
      </w:pPr>
      <w:r w:rsidRPr="00A9207F">
        <w:t>Three applications of AI are particularly relevant to the contemporary Ayurvedic consultation, each addressing a different aspect of the diagnostic–therapeutic loop.</w:t>
      </w:r>
      <w:r w:rsidR="00A9207F">
        <w:t xml:space="preserve"> </w:t>
      </w:r>
      <w:r w:rsidRPr="00A9207F">
        <w:t xml:space="preserve">The first is intelligent diagnostic assessment.  Nadi </w:t>
      </w:r>
      <w:proofErr w:type="spellStart"/>
      <w:r w:rsidRPr="00A9207F">
        <w:t>pariksha</w:t>
      </w:r>
      <w:proofErr w:type="spellEnd"/>
      <w:r w:rsidRPr="00A9207F">
        <w:t xml:space="preserve">, </w:t>
      </w:r>
      <w:proofErr w:type="spellStart"/>
      <w:r w:rsidRPr="00A9207F">
        <w:t>Jihva</w:t>
      </w:r>
      <w:proofErr w:type="spellEnd"/>
      <w:r w:rsidRPr="00A9207F">
        <w:t xml:space="preserve"> </w:t>
      </w:r>
      <w:proofErr w:type="spellStart"/>
      <w:r w:rsidRPr="00A9207F">
        <w:t>pariksha</w:t>
      </w:r>
      <w:proofErr w:type="spellEnd"/>
      <w:r w:rsidRPr="00A9207F">
        <w:t xml:space="preserve">, Mukha </w:t>
      </w:r>
      <w:proofErr w:type="spellStart"/>
      <w:r w:rsidRPr="00A9207F">
        <w:t>pariksha</w:t>
      </w:r>
      <w:proofErr w:type="spellEnd"/>
      <w:r w:rsidRPr="00A9207F">
        <w:t xml:space="preserve"> and Akriti </w:t>
      </w:r>
      <w:proofErr w:type="spellStart"/>
      <w:r w:rsidRPr="00A9207F">
        <w:lastRenderedPageBreak/>
        <w:t>pariksha</w:t>
      </w:r>
      <w:proofErr w:type="spellEnd"/>
      <w:r w:rsidRPr="00A9207F">
        <w:t xml:space="preserve"> – the examination of pulse, tongue, face and bodily constitution respectively – are the cornerstones of clinical evaluation in Ayurveda. Each is, however, a perceptual skill achieved through years of guided observation and inter-observer agreement among practitioners is known to vary. </w:t>
      </w:r>
      <w:proofErr w:type="spellStart"/>
      <w:r w:rsidRPr="00A9207F">
        <w:t>Standardised</w:t>
      </w:r>
      <w:proofErr w:type="spellEnd"/>
      <w:r w:rsidRPr="00A9207F">
        <w:t xml:space="preserve"> tongue photography, computer vision applied to it, signal-processing algorithms applied to pulse waveforms captured through pressure-sensitive transducers, and pattern recognition applied to facial features and bodily morphometry together open the possibility of objectively assisted Prakriti and Vikriti assessment. Such tools do not replace the discerning eye of the experienced Vaidya; they provide instead a second, reproducible reading that can be benchmarked, audited, and used to train future clinicians.</w:t>
      </w:r>
    </w:p>
    <w:p w14:paraId="1A28A230" w14:textId="3002D3D7" w:rsidR="00893A29" w:rsidRPr="00A9207F" w:rsidRDefault="00000000" w:rsidP="00A9207F">
      <w:pPr>
        <w:spacing w:before="200" w:after="120" w:line="280" w:lineRule="auto"/>
        <w:ind w:firstLine="720"/>
        <w:jc w:val="both"/>
      </w:pPr>
      <w:r w:rsidRPr="00A9207F">
        <w:t xml:space="preserve">The second is in the predictive utilization of electronic medical records. As EMR systems are increasingly implemented in Ayurvedic hospitals, many of which now have dosha-coded fields, diet logs, and Panchakarma protocols, a large amount of structured clinical data is being generated. Supervised machine-learning models trained on such datasets can begin to predict treatment outcomes for </w:t>
      </w:r>
      <w:proofErr w:type="gramStart"/>
      <w:r w:rsidRPr="00A9207F">
        <w:t>particular Vikriti</w:t>
      </w:r>
      <w:proofErr w:type="gramEnd"/>
      <w:r w:rsidRPr="00A9207F">
        <w:t xml:space="preserve">–therapy pairings, identify patients who are at higher risk of disease recurrence and reveal non-obvious associations between constitutional patterns and chronic illness trajectories. This type of predictive support does not prescribe management </w:t>
      </w:r>
      <w:r w:rsidR="00A9207F" w:rsidRPr="00A9207F">
        <w:t>decisions but</w:t>
      </w:r>
      <w:r w:rsidRPr="00A9207F">
        <w:t xml:space="preserve"> offers the clinician a probabilistic context to make more confident decisions.</w:t>
      </w:r>
    </w:p>
    <w:p w14:paraId="50F03892" w14:textId="7785B319" w:rsidR="00893A29" w:rsidRPr="00A9207F" w:rsidRDefault="00000000" w:rsidP="00A9207F">
      <w:pPr>
        <w:spacing w:before="200" w:after="120" w:line="280" w:lineRule="auto"/>
        <w:ind w:firstLine="720"/>
        <w:jc w:val="both"/>
      </w:pPr>
      <w:r w:rsidRPr="00A9207F">
        <w:t>The third application is continuous physiological monitoring. Wearable sensors capable of measuring heart-rate variability, skin temperature, sleep architecture, gastrointestinal sounds, and motor activity offer a near-continuous view into the patient’s daily physiology. By interpreting such data streams with analytical models informed by dosha, subtle imbalances may be identified long before they appear as overt clinical signs. Lifestyle aberrations, dietary misadventures and circadian disruptions – all classic etiologic factors for Dosha aggravation – can thus be detected and rectified at their earliest stages, reinstating the preventive focus so central to Ayurvedic philosophy.</w:t>
      </w:r>
    </w:p>
    <w:p w14:paraId="4C845199" w14:textId="44280B7D" w:rsidR="00893A29" w:rsidRPr="00A9207F" w:rsidRDefault="00000000">
      <w:pPr>
        <w:spacing w:before="200" w:after="120" w:line="280" w:lineRule="auto"/>
        <w:jc w:val="both"/>
        <w:rPr>
          <w:b/>
          <w:bCs/>
        </w:rPr>
      </w:pPr>
      <w:r w:rsidRPr="00A9207F">
        <w:rPr>
          <w:b/>
          <w:bCs/>
        </w:rPr>
        <w:t>AI for Research and Data Mining</w:t>
      </w:r>
    </w:p>
    <w:p w14:paraId="7C1FC4D4" w14:textId="4F4D8257" w:rsidR="00893A29" w:rsidRPr="00A9207F" w:rsidRDefault="00000000" w:rsidP="00A9207F">
      <w:pPr>
        <w:spacing w:before="200" w:after="120" w:line="280" w:lineRule="auto"/>
        <w:ind w:firstLine="720"/>
        <w:jc w:val="both"/>
      </w:pPr>
      <w:r w:rsidRPr="00A9207F">
        <w:t>Outside the consulting room, AI has equally consequential implications for Ayurvedic research, particularly in three intersecting domains.</w:t>
      </w:r>
    </w:p>
    <w:p w14:paraId="69CF068E" w14:textId="77777777" w:rsidR="00893A29" w:rsidRPr="00A9207F" w:rsidRDefault="00000000" w:rsidP="00A9207F">
      <w:pPr>
        <w:spacing w:before="200" w:after="120" w:line="280" w:lineRule="auto"/>
        <w:ind w:firstLine="720"/>
        <w:jc w:val="both"/>
      </w:pPr>
      <w:r w:rsidRPr="00A9207F">
        <w:t>The classical Ayurvedic literature, the Brihat-</w:t>
      </w:r>
      <w:proofErr w:type="spellStart"/>
      <w:r w:rsidRPr="00A9207F">
        <w:t>trayi</w:t>
      </w:r>
      <w:proofErr w:type="spellEnd"/>
      <w:r w:rsidRPr="00A9207F">
        <w:t xml:space="preserve"> and Laghu-</w:t>
      </w:r>
      <w:proofErr w:type="spellStart"/>
      <w:r w:rsidRPr="00A9207F">
        <w:t>trayi</w:t>
      </w:r>
      <w:proofErr w:type="spellEnd"/>
      <w:r w:rsidRPr="00A9207F">
        <w:t xml:space="preserve"> as well as hundreds of subsidiary </w:t>
      </w:r>
      <w:proofErr w:type="spellStart"/>
      <w:r w:rsidRPr="00A9207F">
        <w:t>nighantus</w:t>
      </w:r>
      <w:proofErr w:type="spellEnd"/>
      <w:r w:rsidRPr="00A9207F">
        <w:t xml:space="preserve">, </w:t>
      </w:r>
      <w:proofErr w:type="spellStart"/>
      <w:r w:rsidRPr="00A9207F">
        <w:t>samhitas</w:t>
      </w:r>
      <w:proofErr w:type="spellEnd"/>
      <w:r w:rsidRPr="00A9207F">
        <w:t xml:space="preserve"> and regional manuscripts, forms one of the largest unbroken corpora of medical knowledge of any tradition. Yet much of this literature is still not indexed sufficiently to permit systematic interrogation. Natural Language Processing tools, now increasingly proficient in handling Sanskrit and Devanagari-script texts, can transform this corpus into a </w:t>
      </w:r>
      <w:proofErr w:type="spellStart"/>
      <w:r w:rsidRPr="00A9207F">
        <w:t>queryable</w:t>
      </w:r>
      <w:proofErr w:type="spellEnd"/>
      <w:r w:rsidRPr="00A9207F">
        <w:t xml:space="preserve"> knowledge base. Recurrent therapeutic patterns, unexpected ingredient pairings, and disease-symptom-treatment associations buried within shlokas can be surfaced computationally and shown to researchers for clinical validation. This transforms classical scholarship from a largely commentarial exercise to a generative source of testable hypotheses.</w:t>
      </w:r>
    </w:p>
    <w:p w14:paraId="463B5412" w14:textId="77777777" w:rsidR="00893A29" w:rsidRPr="00A9207F" w:rsidRDefault="00893A29">
      <w:pPr>
        <w:spacing w:before="200" w:after="120" w:line="280" w:lineRule="auto"/>
        <w:jc w:val="both"/>
      </w:pPr>
    </w:p>
    <w:p w14:paraId="5C6A07AD" w14:textId="6B8E2BD4" w:rsidR="00893A29" w:rsidRPr="00A9207F" w:rsidRDefault="00000000" w:rsidP="00A9207F">
      <w:pPr>
        <w:spacing w:before="200" w:after="120" w:line="280" w:lineRule="auto"/>
        <w:ind w:firstLine="720"/>
        <w:jc w:val="both"/>
      </w:pPr>
      <w:r w:rsidRPr="00A9207F">
        <w:t xml:space="preserve">A second domain is the systematic exploration of correlations between Prakriti and disease. Ayurvedic clinical thinking has for centuries contained hypotheses relating constitutional type to susceptibility to disease, but epidemiological confirmation has been elusive. Statistical confidence can be achieved by applying machine learning to large multi-site cohorts in which Prakriti has been assessed with </w:t>
      </w:r>
      <w:proofErr w:type="spellStart"/>
      <w:r w:rsidRPr="00A9207F">
        <w:t>standardised</w:t>
      </w:r>
      <w:proofErr w:type="spellEnd"/>
      <w:r w:rsidRPr="00A9207F">
        <w:t xml:space="preserve"> instruments. We can examine patterns, such as those linking Kapha-predominant constitutions to metabolic disturbances or Vata-predominant constitutions to neurodegenerative trajectories, at the population level, and confirm or refine them. The resulting evidence base is valuable not only to the Ayurvedic clinician but also to the broader integrative-medicine community.</w:t>
      </w:r>
    </w:p>
    <w:p w14:paraId="4ACC0A6F" w14:textId="48345741" w:rsidR="00893A29" w:rsidRPr="00A9207F" w:rsidRDefault="00000000" w:rsidP="00A9207F">
      <w:pPr>
        <w:spacing w:before="200" w:after="120" w:line="280" w:lineRule="auto"/>
        <w:ind w:firstLine="720"/>
        <w:jc w:val="both"/>
      </w:pPr>
      <w:r w:rsidRPr="00A9207F">
        <w:t xml:space="preserve">The third benefit of research is study design. Predictive analytics can be useful for sample-size estimation, for identifying potential confounders for stratification, and even for simulating trial outcomes before patient recruitment. Adaptive trial frameworks, already gaining ground in oncology and infectious-disease research, are especially suitable for Ayurvedic interventions, which typically involve combination therapies and </w:t>
      </w:r>
      <w:proofErr w:type="spellStart"/>
      <w:r w:rsidRPr="00A9207F">
        <w:t>individualised</w:t>
      </w:r>
      <w:proofErr w:type="spellEnd"/>
      <w:r w:rsidRPr="00A9207F">
        <w:t xml:space="preserve"> dose adjustment. AI-supported protocol design can therefore strengthen the methodological credibility of Ayurvedic clinical trials and improve on their chances of acceptance within mainstream evidence hierarchies.</w:t>
      </w:r>
    </w:p>
    <w:p w14:paraId="2A1A33AC" w14:textId="0D2705C3" w:rsidR="00893A29" w:rsidRPr="00A9207F" w:rsidRDefault="00000000">
      <w:pPr>
        <w:spacing w:before="200" w:after="120" w:line="280" w:lineRule="auto"/>
        <w:jc w:val="both"/>
        <w:rPr>
          <w:b/>
          <w:bCs/>
        </w:rPr>
      </w:pPr>
      <w:r w:rsidRPr="00A9207F">
        <w:rPr>
          <w:b/>
          <w:bCs/>
        </w:rPr>
        <w:t xml:space="preserve">AI in Ayurvedic Software Development  </w:t>
      </w:r>
    </w:p>
    <w:p w14:paraId="549290D9" w14:textId="0FBB1D95" w:rsidR="00893A29" w:rsidRPr="00A9207F" w:rsidRDefault="00000000" w:rsidP="00A9207F">
      <w:pPr>
        <w:spacing w:before="200" w:after="120" w:line="280" w:lineRule="auto"/>
        <w:ind w:firstLine="720"/>
        <w:jc w:val="both"/>
      </w:pPr>
      <w:r w:rsidRPr="00A9207F">
        <w:t xml:space="preserve">AI-powered decision support modules are now starting to be added to intelligent EMR platforms built specifically for Ayurvedic workflow. These systems not only passively record the </w:t>
      </w:r>
      <w:proofErr w:type="gramStart"/>
      <w:r w:rsidRPr="00A9207F">
        <w:t>Vikriti, but</w:t>
      </w:r>
      <w:proofErr w:type="gramEnd"/>
      <w:r w:rsidRPr="00A9207F">
        <w:t xml:space="preserve"> actively assist in diagnosis by nudging the clinician to likely differential diagnoses based on the symptomatology entered, retrieving previous cases of similar Vikriti, and recommending safe combinations of treatment from validated formulary databases. The cumulative effect is a working environment where the Vaidya’s clinical judgement is supplemented, in real time, by the institutional memory of every previously recorded case.</w:t>
      </w:r>
    </w:p>
    <w:p w14:paraId="41A851C7" w14:textId="186AA609" w:rsidR="00893A29" w:rsidRPr="00A9207F" w:rsidRDefault="00000000" w:rsidP="00A9207F">
      <w:pPr>
        <w:spacing w:before="200" w:after="120" w:line="280" w:lineRule="auto"/>
        <w:ind w:firstLine="720"/>
        <w:jc w:val="both"/>
      </w:pPr>
      <w:r w:rsidRPr="00A9207F">
        <w:t>The second category is the virtual Ayurvedic consultant. Between consultations, conversational AI agents – large language models tuned on classical and contemporary Ayurvedic content – can serve as first-line health assistants for patients. Diet and lifestyle advice based on the patient’s Prakriti, advice on seasonal regimen, basic explanation of prescribed therapies and triage of symptoms requiring urgent clinical review are all within the proper remit of such tools. Importantly, these systems need to be built with defined parameters: they enhance the capabilities of qualified practitioners but are not a substitute for them.</w:t>
      </w:r>
    </w:p>
    <w:p w14:paraId="0F093F49" w14:textId="4E7076FE" w:rsidR="00893A29" w:rsidRPr="00A9207F" w:rsidRDefault="00000000" w:rsidP="00A9207F">
      <w:pPr>
        <w:spacing w:before="200" w:after="120" w:line="280" w:lineRule="auto"/>
        <w:ind w:firstLine="720"/>
        <w:jc w:val="both"/>
      </w:pPr>
      <w:r w:rsidRPr="00A9207F">
        <w:t xml:space="preserve">A third and increasingly important category is integration with national-level digital initiatives. The Digital Helpline for Ayurveda Research Articles (DHARA) and AYUSH Grid are significant infrastructure investments by the Government of India, intended to standardize data exchange within the Ayurvedic ecosystem. AI-enabled tools that can interoperate with these </w:t>
      </w:r>
      <w:r w:rsidRPr="00A9207F">
        <w:lastRenderedPageBreak/>
        <w:t xml:space="preserve">platforms—query DHARA for relevant published evidence, contribute </w:t>
      </w:r>
      <w:proofErr w:type="spellStart"/>
      <w:r w:rsidRPr="00A9207F">
        <w:t>anonymised</w:t>
      </w:r>
      <w:proofErr w:type="spellEnd"/>
      <w:r w:rsidRPr="00A9207F">
        <w:t xml:space="preserve"> case data to the AYUSH Grid, and align with the emerging National Digital Health Mission—will be substantially more valuable than isolated proprietary applications. In this sense, standards-aligned development is a technical and strategic imperative.</w:t>
      </w:r>
    </w:p>
    <w:p w14:paraId="18EBA8DD" w14:textId="343DC09F" w:rsidR="00893A29" w:rsidRPr="00A9207F" w:rsidRDefault="00000000">
      <w:pPr>
        <w:spacing w:before="200" w:after="120" w:line="280" w:lineRule="auto"/>
        <w:jc w:val="both"/>
        <w:rPr>
          <w:b/>
          <w:bCs/>
        </w:rPr>
      </w:pPr>
      <w:r w:rsidRPr="00A9207F">
        <w:rPr>
          <w:b/>
          <w:bCs/>
        </w:rPr>
        <w:t>Architecture of the Proposed AI Model</w:t>
      </w:r>
    </w:p>
    <w:p w14:paraId="2AD5ABAC" w14:textId="40394D70" w:rsidR="00893A29" w:rsidRPr="00A9207F" w:rsidRDefault="00000000" w:rsidP="00A9207F">
      <w:pPr>
        <w:spacing w:before="200" w:after="120" w:line="280" w:lineRule="auto"/>
        <w:ind w:firstLine="720"/>
        <w:jc w:val="both"/>
      </w:pPr>
      <w:r w:rsidRPr="00A9207F">
        <w:t>For a practical implementation of AI in Ayurveda, an architecture is needed that can take in heterogeneous inputs, process them through models trained on integrated traditional and modern data sets, and provide clinically actionable outputs that themselves feed back into the learning loop. The proposed architecture is structured around five interdependent layers (Figure 1).</w:t>
      </w:r>
    </w:p>
    <w:p w14:paraId="24A2615A" w14:textId="40A2B623" w:rsidR="00893A29" w:rsidRPr="00A9207F" w:rsidRDefault="00A9207F" w:rsidP="00A9207F">
      <w:pPr>
        <w:spacing w:before="200" w:after="120" w:line="280" w:lineRule="auto"/>
        <w:jc w:val="center"/>
      </w:pPr>
      <w:r w:rsidRPr="00A9207F">
        <w:rPr>
          <w:noProof/>
        </w:rPr>
        <w:drawing>
          <wp:inline distT="0" distB="0" distL="0" distR="0" wp14:anchorId="3D3242D8" wp14:editId="4C3B220C">
            <wp:extent cx="5486400" cy="3086100"/>
            <wp:effectExtent l="0" t="0" r="0" b="12700"/>
            <wp:docPr id="1" name="Picture 1" descr="A diagram of 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model&#10;&#10;AI-generated content may be incorrect."/>
                    <pic:cNvPicPr>
                      <a:picLocks noChangeAspect="1" noChangeArrowheads="1"/>
                    </pic:cNvPicPr>
                  </pic:nvPicPr>
                  <pic:blipFill>
                    <a:blip r:embed="rId4"/>
                    <a:srcRect/>
                    <a:stretch>
                      <a:fillRect/>
                    </a:stretch>
                  </pic:blipFill>
                  <pic:spPr>
                    <a:xfrm>
                      <a:off x="0" y="0"/>
                      <a:ext cx="5486400" cy="3086100"/>
                    </a:xfrm>
                    <a:prstGeom prst="rect">
                      <a:avLst/>
                    </a:prstGeom>
                  </pic:spPr>
                </pic:pic>
              </a:graphicData>
            </a:graphic>
          </wp:inline>
        </w:drawing>
      </w:r>
    </w:p>
    <w:p w14:paraId="5C533153" w14:textId="084321AB" w:rsidR="00893A29" w:rsidRPr="00AE7BFA" w:rsidRDefault="00000000">
      <w:pPr>
        <w:spacing w:before="200" w:after="120" w:line="280" w:lineRule="auto"/>
        <w:jc w:val="both"/>
        <w:rPr>
          <w:i/>
          <w:iCs/>
        </w:rPr>
      </w:pPr>
      <w:r w:rsidRPr="00AE7BFA">
        <w:rPr>
          <w:b/>
          <w:bCs/>
          <w:i/>
          <w:iCs/>
        </w:rPr>
        <w:t>Fig. 1.</w:t>
      </w:r>
      <w:r w:rsidRPr="00AE7BFA">
        <w:rPr>
          <w:i/>
          <w:iCs/>
        </w:rPr>
        <w:t xml:space="preserve"> Conceptual architecture of the proposed AI model for Ayurveda is organized in five interdependent layers: Backend Data Layer, Trained AI Model, Data Processing, Clinical Outcomes, and Continuous Evaluation.</w:t>
      </w:r>
    </w:p>
    <w:p w14:paraId="7E982DC4" w14:textId="77777777" w:rsidR="00893A29" w:rsidRPr="00A9207F" w:rsidRDefault="00000000" w:rsidP="00A9207F">
      <w:pPr>
        <w:spacing w:before="200" w:after="120" w:line="280" w:lineRule="auto"/>
        <w:ind w:firstLine="720"/>
        <w:jc w:val="both"/>
      </w:pPr>
      <w:r w:rsidRPr="00A9207F">
        <w:t xml:space="preserve">The Backend Data Layer is the base. It aggregates four categories of source material: literature mined from classical Ayurvedic texts and contemporary biomedical journals; diagnostic toolkits drawn from both Ayurvedic and modern medical traditions, including laboratory and radiological investigation panels; structured inventories of classical formulations and procedural references – Poorva karmas, </w:t>
      </w:r>
      <w:proofErr w:type="spellStart"/>
      <w:r w:rsidRPr="00A9207F">
        <w:t>Pradhaana</w:t>
      </w:r>
      <w:proofErr w:type="spellEnd"/>
      <w:r w:rsidRPr="00A9207F">
        <w:t xml:space="preserve"> karmas, and Yogas; and internationally accredited laboratory reports validating raw materials and finished products. The purpose at this layer is completeness without contamination — all inputs should be traceable to a source that can be verified.</w:t>
      </w:r>
    </w:p>
    <w:p w14:paraId="2F20B8A2" w14:textId="77777777" w:rsidR="00893A29" w:rsidRPr="00A9207F" w:rsidRDefault="00893A29">
      <w:pPr>
        <w:spacing w:before="200" w:after="120" w:line="280" w:lineRule="auto"/>
        <w:jc w:val="both"/>
      </w:pPr>
    </w:p>
    <w:p w14:paraId="67155C33" w14:textId="126F4DE7" w:rsidR="00893A29" w:rsidRPr="00A9207F" w:rsidRDefault="00000000" w:rsidP="00A9207F">
      <w:pPr>
        <w:spacing w:before="200" w:after="120" w:line="280" w:lineRule="auto"/>
        <w:ind w:firstLine="720"/>
        <w:jc w:val="both"/>
      </w:pPr>
      <w:r w:rsidRPr="00A9207F">
        <w:lastRenderedPageBreak/>
        <w:t>Next layer is Trained AI Model. In this case, machine-learning algorithms are trained on the integrated dataset described above, with due attention to balanced representation, validation across independent cohorts, and ongoing evaluation against held-out test sets. Supervised approaches for outcome prediction and classification, as well as unsupervised approaches for pattern discovery in classical literature are envisioned.</w:t>
      </w:r>
    </w:p>
    <w:p w14:paraId="397F063E" w14:textId="3B23CAEE" w:rsidR="00893A29" w:rsidRPr="00A9207F" w:rsidRDefault="00000000" w:rsidP="00A9207F">
      <w:pPr>
        <w:spacing w:before="200" w:after="120" w:line="280" w:lineRule="auto"/>
        <w:ind w:firstLine="720"/>
        <w:jc w:val="both"/>
      </w:pPr>
      <w:r w:rsidRPr="00A9207F">
        <w:t xml:space="preserve">In the Data Processing layer, individual patient input is encountered. Patient symptomatology, examination findings based on ayurvedic and modern methodology, photographic and wearable derived data, prior lab </w:t>
      </w:r>
      <w:r w:rsidR="00AE7BFA" w:rsidRPr="00A9207F">
        <w:t>reports,</w:t>
      </w:r>
      <w:r w:rsidRPr="00A9207F">
        <w:t xml:space="preserve"> and the clinician’s preliminary impressions are all ingested here. </w:t>
      </w:r>
      <w:proofErr w:type="spellStart"/>
      <w:r w:rsidRPr="00A9207F">
        <w:t>Standardisation</w:t>
      </w:r>
      <w:proofErr w:type="spellEnd"/>
      <w:r w:rsidRPr="00A9207F">
        <w:t xml:space="preserve"> at this stage is critical, as the quality of any downstream inference depends on the integrity of the input representation.</w:t>
      </w:r>
    </w:p>
    <w:p w14:paraId="7B1FCADD" w14:textId="530C53E9" w:rsidR="00893A29" w:rsidRPr="00A9207F" w:rsidRDefault="00000000" w:rsidP="00A9207F">
      <w:pPr>
        <w:spacing w:before="200" w:after="120" w:line="280" w:lineRule="auto"/>
        <w:ind w:firstLine="720"/>
        <w:jc w:val="both"/>
      </w:pPr>
      <w:r w:rsidRPr="00A9207F">
        <w:t>The Clinical Outcomes layer is the interface that the patient sees. The system gives differential diagnoses ranked by likelihood, a provisional final diagnosis arrived at jointly with the clinician, and a recommended combination of medicines with explicit reference to safety procedures and the general health status of the patient. The clinician remains the locus of decision-making; the system is an evidential and computational adjunct, not an arbiter.</w:t>
      </w:r>
    </w:p>
    <w:p w14:paraId="0DB66CB6" w14:textId="77777777" w:rsidR="00893A29" w:rsidRPr="00A9207F" w:rsidRDefault="00000000" w:rsidP="00A9207F">
      <w:pPr>
        <w:spacing w:before="200" w:after="120" w:line="280" w:lineRule="auto"/>
        <w:ind w:firstLine="720"/>
        <w:jc w:val="both"/>
      </w:pPr>
      <w:r w:rsidRPr="00A9207F">
        <w:t xml:space="preserve">The fifth and possibly most important layer is Continuous Evaluation. Therapeutic efficacy is fed back into the model as new training data, based on structured follow-up and outcome scoring. Over time, this iterative refinement allows the system to become increasingly more accurate, more </w:t>
      </w:r>
      <w:proofErr w:type="spellStart"/>
      <w:r w:rsidRPr="00A9207F">
        <w:t>personalised</w:t>
      </w:r>
      <w:proofErr w:type="spellEnd"/>
      <w:r w:rsidRPr="00A9207F">
        <w:t xml:space="preserve"> and more sensitive to the specific case-mix it serves. Figure 2 expands on this general flow, showing in more detail the interaction of back-end data sources, patient-level inputs, model output and evaluation feedback within a single integrated pipeline.</w:t>
      </w:r>
    </w:p>
    <w:p w14:paraId="79BA1A66" w14:textId="67388A34" w:rsidR="00893A29" w:rsidRPr="00A9207F" w:rsidRDefault="00A9207F" w:rsidP="00A9207F">
      <w:pPr>
        <w:spacing w:before="200" w:after="120" w:line="280" w:lineRule="auto"/>
        <w:jc w:val="center"/>
      </w:pPr>
      <w:r w:rsidRPr="00A9207F">
        <w:rPr>
          <w:noProof/>
        </w:rPr>
        <w:drawing>
          <wp:inline distT="0" distB="0" distL="0" distR="0" wp14:anchorId="7F1AD4AA" wp14:editId="0722FD3D">
            <wp:extent cx="5486400" cy="3086100"/>
            <wp:effectExtent l="0" t="0" r="0" b="0"/>
            <wp:docPr id="2" name="Picture 2" descr="A diagram of a medical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medical model&#10;&#10;AI-generated content may be incorrect."/>
                    <pic:cNvPicPr>
                      <a:picLocks noChangeAspect="1" noChangeArrowheads="1"/>
                    </pic:cNvPicPr>
                  </pic:nvPicPr>
                  <pic:blipFill>
                    <a:blip r:embed="rId5"/>
                    <a:srcRect/>
                    <a:stretch>
                      <a:fillRect/>
                    </a:stretch>
                  </pic:blipFill>
                  <pic:spPr>
                    <a:xfrm>
                      <a:off x="0" y="0"/>
                      <a:ext cx="5486400" cy="3086100"/>
                    </a:xfrm>
                    <a:prstGeom prst="rect">
                      <a:avLst/>
                    </a:prstGeom>
                  </pic:spPr>
                </pic:pic>
              </a:graphicData>
            </a:graphic>
          </wp:inline>
        </w:drawing>
      </w:r>
    </w:p>
    <w:p w14:paraId="04D16CBF" w14:textId="684B79F2" w:rsidR="00893A29" w:rsidRPr="00AE7BFA" w:rsidRDefault="00000000">
      <w:pPr>
        <w:spacing w:before="200" w:after="120" w:line="280" w:lineRule="auto"/>
        <w:jc w:val="both"/>
        <w:rPr>
          <w:i/>
          <w:iCs/>
        </w:rPr>
      </w:pPr>
      <w:r w:rsidRPr="00AE7BFA">
        <w:rPr>
          <w:b/>
          <w:bCs/>
          <w:i/>
          <w:iCs/>
        </w:rPr>
        <w:lastRenderedPageBreak/>
        <w:t>Figure 2.</w:t>
      </w:r>
      <w:r w:rsidRPr="00AE7BFA">
        <w:rPr>
          <w:i/>
          <w:iCs/>
        </w:rPr>
        <w:t xml:space="preserve">  Practical digital AI tooling – a broader view covering data ingestion, model processing, clinical outputs, and the feedback loop of evaluation that retrains the model with longitudinal efficacy data.</w:t>
      </w:r>
    </w:p>
    <w:p w14:paraId="138F5115" w14:textId="2C2DA206" w:rsidR="00893A29" w:rsidRPr="00AE7BFA" w:rsidRDefault="00000000">
      <w:pPr>
        <w:spacing w:before="200" w:after="120" w:line="280" w:lineRule="auto"/>
        <w:jc w:val="both"/>
        <w:rPr>
          <w:b/>
          <w:bCs/>
        </w:rPr>
      </w:pPr>
      <w:r w:rsidRPr="00AE7BFA">
        <w:rPr>
          <w:b/>
          <w:bCs/>
        </w:rPr>
        <w:t>Development of Digital Tooling</w:t>
      </w:r>
    </w:p>
    <w:p w14:paraId="64A9BC7A" w14:textId="6DAD8B7B" w:rsidR="00893A29" w:rsidRPr="00A9207F" w:rsidRDefault="00000000" w:rsidP="00AE7BFA">
      <w:pPr>
        <w:spacing w:before="200" w:after="120" w:line="280" w:lineRule="auto"/>
        <w:ind w:firstLine="720"/>
        <w:jc w:val="both"/>
      </w:pPr>
      <w:r w:rsidRPr="00A9207F">
        <w:t>The architecture described above must be translated into usable tools through sustained development effort along three parallel tracks.</w:t>
      </w:r>
    </w:p>
    <w:p w14:paraId="348709A6" w14:textId="35CCDC94" w:rsidR="00893A29" w:rsidRPr="00A9207F" w:rsidRDefault="00000000" w:rsidP="00AE7BFA">
      <w:pPr>
        <w:spacing w:before="200" w:after="120" w:line="280" w:lineRule="auto"/>
        <w:ind w:firstLine="720"/>
        <w:jc w:val="both"/>
      </w:pPr>
      <w:r w:rsidRPr="00A9207F">
        <w:t xml:space="preserve">The first track is the development of diagnostic and decision support applications, available both through mobile devices and using web-based clinical workstations. Tools made for practitioners </w:t>
      </w:r>
      <w:proofErr w:type="gramStart"/>
      <w:r w:rsidRPr="00A9207F">
        <w:t>have to</w:t>
      </w:r>
      <w:proofErr w:type="gramEnd"/>
      <w:r w:rsidRPr="00A9207F">
        <w:t xml:space="preserve"> fit into the real-world workflow of an Ayurvedic consultation — quick Prakriti assessment, structured case-history entry, integrated formulary search and succinct summary writing for medico-legal record-keeping. Meanwhile, patient-facing applications are focused on accessibility and </w:t>
      </w:r>
      <w:proofErr w:type="spellStart"/>
      <w:r w:rsidRPr="00A9207F">
        <w:t>behavioural</w:t>
      </w:r>
      <w:proofErr w:type="spellEnd"/>
      <w:r w:rsidRPr="00A9207F">
        <w:t xml:space="preserve"> support — reminders for daily regimens, diet tracking based on the patient’s Prakriti, and secure messaging with the treating clinician.</w:t>
      </w:r>
    </w:p>
    <w:p w14:paraId="37F70126" w14:textId="6AEE1A85" w:rsidR="00893A29" w:rsidRPr="00A9207F" w:rsidRDefault="00000000" w:rsidP="00AE7BFA">
      <w:pPr>
        <w:spacing w:before="200" w:after="120" w:line="280" w:lineRule="auto"/>
        <w:ind w:firstLine="720"/>
        <w:jc w:val="both"/>
      </w:pPr>
      <w:r w:rsidRPr="00A9207F">
        <w:t xml:space="preserve">The second track is about building standardized data bases. A lack of uniform quality standards has long marred the international accreditation of Ayurvedic products. If Ayurvedic therapeutics are to achieve wider regulatory acceptance, then curated repositories of independently tested product reports, </w:t>
      </w:r>
      <w:proofErr w:type="spellStart"/>
      <w:r w:rsidRPr="00A9207F">
        <w:t>harmonised</w:t>
      </w:r>
      <w:proofErr w:type="spellEnd"/>
      <w:r w:rsidRPr="00A9207F">
        <w:t xml:space="preserve"> manufacturing protocols and clinically validated formulation safety data are essential. Such databases also provide authoritative reference layers for the AI models that feed on them.</w:t>
      </w:r>
    </w:p>
    <w:p w14:paraId="3C509DB4" w14:textId="4B7C49BB" w:rsidR="00893A29" w:rsidRPr="00A9207F" w:rsidRDefault="00000000" w:rsidP="00AE7BFA">
      <w:pPr>
        <w:spacing w:before="200" w:after="120" w:line="280" w:lineRule="auto"/>
        <w:ind w:firstLine="720"/>
        <w:jc w:val="both"/>
      </w:pPr>
      <w:r w:rsidRPr="00A9207F">
        <w:t>Third track is integration. No Ayurvedic application can deliver its full potential in isolation from the broader healthcare ecosystem. Whether Ayurvedic AI tools will be trusted parts of patients’ larger health journeys or remain fringe curiosities will depend on compliance with interoperability standards — HL7 FHIR for clinical data exchange, ABDM-compliant patient identifiers and AYUSH-Grid-aligned terminologies. The strategic case is therefore as compelling as the technical case.</w:t>
      </w:r>
    </w:p>
    <w:p w14:paraId="60703F01" w14:textId="0894C639" w:rsidR="00893A29" w:rsidRPr="00AE7BFA" w:rsidRDefault="00000000">
      <w:pPr>
        <w:spacing w:before="200" w:after="120" w:line="280" w:lineRule="auto"/>
        <w:jc w:val="both"/>
        <w:rPr>
          <w:b/>
          <w:bCs/>
        </w:rPr>
      </w:pPr>
      <w:r w:rsidRPr="00AE7BFA">
        <w:rPr>
          <w:b/>
          <w:bCs/>
        </w:rPr>
        <w:t>Ethics, Challenges, and Future Perspectives</w:t>
      </w:r>
    </w:p>
    <w:p w14:paraId="79011F0E" w14:textId="4E8540B6" w:rsidR="00893A29" w:rsidRPr="00A9207F" w:rsidRDefault="00000000" w:rsidP="00AE7BFA">
      <w:pPr>
        <w:spacing w:before="200" w:after="120" w:line="280" w:lineRule="auto"/>
        <w:ind w:firstLine="720"/>
        <w:jc w:val="both"/>
      </w:pPr>
      <w:r w:rsidRPr="00A9207F">
        <w:t>Though the above applications may look promising, there are several ethical and methodological issues that need to be addressed candidly if AI-enabled Ayurveda is to grow into a clinically responsible discipline.</w:t>
      </w:r>
    </w:p>
    <w:p w14:paraId="20767E04" w14:textId="6910754F" w:rsidR="00893A29" w:rsidRPr="00A9207F" w:rsidRDefault="00000000" w:rsidP="00AE7BFA">
      <w:pPr>
        <w:spacing w:before="200" w:after="120" w:line="280" w:lineRule="auto"/>
        <w:ind w:firstLine="720"/>
        <w:jc w:val="both"/>
      </w:pPr>
      <w:r w:rsidRPr="00A9207F">
        <w:t xml:space="preserve">The most immediate concern is the privacy and security of patient data. The Ayurvedic consultation results in an unusually rich personal record, not only of medical and laboratory data but dietary patterns, daily routine, sleep architecture, emotional disposition, and intimate physiological observations. Then there are </w:t>
      </w:r>
      <w:proofErr w:type="gramStart"/>
      <w:r w:rsidRPr="00A9207F">
        <w:t>a number of</w:t>
      </w:r>
      <w:proofErr w:type="gramEnd"/>
      <w:r w:rsidRPr="00A9207F">
        <w:t xml:space="preserve"> non-negotiable requirements: protecting this data from unauthorized access, obtaining informed and meaningful consent for its use in training models, and keeping third-party data sharing clearly defined. Encryption at rest and in </w:t>
      </w:r>
      <w:r w:rsidRPr="00A9207F">
        <w:lastRenderedPageBreak/>
        <w:t>transit, role-based access controls, and compliance with the Digital Personal Data Protection Act and its international equivalents should be designed in from the beginning, rather than added later.</w:t>
      </w:r>
    </w:p>
    <w:p w14:paraId="657E020D" w14:textId="377146D2" w:rsidR="00893A29" w:rsidRPr="00A9207F" w:rsidRDefault="00000000" w:rsidP="00AE7BFA">
      <w:pPr>
        <w:spacing w:before="200" w:after="120" w:line="280" w:lineRule="auto"/>
        <w:ind w:firstLine="720"/>
        <w:jc w:val="both"/>
      </w:pPr>
      <w:r w:rsidRPr="00A9207F">
        <w:t>A second, more subtle issue is algorithmic bias. Machine-learning models are only as representative as that on which they are trained. If training corpora are biased towards specific regions, age groups, socio-economic strata or constitutional types, the resulting models will systematically underperform for under-represented populations. In the context of traditional medicine, the risk is compounded by historical asymmetries in documentation—certain disease conditions and certain regional lineages of practice are better documented than others. Therefore, we need to actively seek out, quantify and mitigate such bias at every stage of the development lifecycle.</w:t>
      </w:r>
    </w:p>
    <w:p w14:paraId="5750D2B1" w14:textId="0FB6A814" w:rsidR="00893A29" w:rsidRPr="00A9207F" w:rsidRDefault="00000000" w:rsidP="00AE7BFA">
      <w:pPr>
        <w:spacing w:before="200" w:after="120" w:line="280" w:lineRule="auto"/>
        <w:ind w:firstLine="720"/>
        <w:jc w:val="both"/>
      </w:pPr>
      <w:r w:rsidRPr="00A9207F">
        <w:t xml:space="preserve">The third worry concerns collaborative legitimacy. No dataset, however comprehensive, can capture the tacit clinical knowledge of experienced </w:t>
      </w:r>
      <w:proofErr w:type="spellStart"/>
      <w:r w:rsidRPr="00A9207F">
        <w:t>Vaidyas</w:t>
      </w:r>
      <w:proofErr w:type="spellEnd"/>
      <w:r w:rsidRPr="00A9207F">
        <w:t>. In contrast, the technical expertise of AI engineers is unique among clinicians. Without ongoing, formal collaboration between these two communities – and the inclusion of ethicists, regulators, and patients themselves – there is a real danger that the resulting tools will be technically elegant but clinically misaligned, or clinically faithful but computationally flawed. This sort of bridge-building is not a peripheral issue; it is the central determinant of whether the discipline can be advanced honestly.</w:t>
      </w:r>
    </w:p>
    <w:p w14:paraId="37A07E71" w14:textId="6D5ACD2C" w:rsidR="00893A29" w:rsidRPr="00A9207F" w:rsidRDefault="00000000" w:rsidP="00AE7BFA">
      <w:pPr>
        <w:spacing w:before="200" w:after="120" w:line="280" w:lineRule="auto"/>
        <w:ind w:firstLine="720"/>
        <w:jc w:val="both"/>
      </w:pPr>
      <w:r w:rsidRPr="00A9207F">
        <w:t xml:space="preserve">Looking forward, the immediate horizon will likely be shaped by increasing integration of wearable technology into routine Ayurvedic care. We will continue to evaluate physiological markers associated with the Doshas – heart-rate variability for Vata, thermoregulatory profile for Pitta, and sleep and energy metrics for Kapha – to enable proactive correction of imbalances, restoring the preventative and </w:t>
      </w:r>
      <w:proofErr w:type="spellStart"/>
      <w:r w:rsidRPr="00A9207F">
        <w:t>Swasthavritta</w:t>
      </w:r>
      <w:proofErr w:type="spellEnd"/>
      <w:r w:rsidRPr="00A9207F">
        <w:t xml:space="preserve"> focus that is intrinsic to Ayurveda and distinguishes it from purely curative approaches. If it is done correctly, AI will enable Ayurveda to speak the language of modern digital health while still retaining its classical roots.</w:t>
      </w:r>
    </w:p>
    <w:p w14:paraId="0B15E563" w14:textId="2F5B3328" w:rsidR="00893A29" w:rsidRPr="00AE7BFA" w:rsidRDefault="00000000">
      <w:pPr>
        <w:spacing w:before="200" w:after="120" w:line="280" w:lineRule="auto"/>
        <w:jc w:val="both"/>
        <w:rPr>
          <w:b/>
          <w:bCs/>
        </w:rPr>
      </w:pPr>
      <w:r w:rsidRPr="00AE7BFA">
        <w:rPr>
          <w:b/>
          <w:bCs/>
        </w:rPr>
        <w:t>Pros:</w:t>
      </w:r>
    </w:p>
    <w:p w14:paraId="41D36873" w14:textId="58C66331" w:rsidR="00893A29" w:rsidRPr="00A9207F" w:rsidRDefault="00000000" w:rsidP="00AE7BFA">
      <w:pPr>
        <w:spacing w:before="200" w:after="120" w:line="280" w:lineRule="auto"/>
        <w:ind w:firstLine="720"/>
        <w:jc w:val="both"/>
      </w:pPr>
      <w:r w:rsidRPr="00A9207F">
        <w:t>The aggregate benefits anticipated from the integration of AI into Ayurveda can be categorized under six headings, each addressing a long-standing limitation of the discipline.</w:t>
      </w:r>
    </w:p>
    <w:p w14:paraId="472885BE" w14:textId="4DD82A96" w:rsidR="00893A29" w:rsidRPr="00A9207F" w:rsidRDefault="00000000" w:rsidP="00AE7BFA">
      <w:pPr>
        <w:spacing w:before="200" w:after="120" w:line="280" w:lineRule="auto"/>
        <w:ind w:firstLine="720"/>
        <w:jc w:val="both"/>
      </w:pPr>
      <w:r w:rsidRPr="00A9207F">
        <w:t>Perhaps the most clinically consequential is increased safety and efficacy. Predictive validation of treatment outcomes, including identification of patients at risk of adverse reactions, drug–herb interactions, or sub-optimal responses, bolsters the evidential base for therapeutic decision-making.</w:t>
      </w:r>
    </w:p>
    <w:p w14:paraId="789FA5F5" w14:textId="77777777" w:rsidR="00893A29" w:rsidRPr="00A9207F" w:rsidRDefault="00000000" w:rsidP="00AE7BFA">
      <w:pPr>
        <w:spacing w:before="200" w:after="120" w:line="280" w:lineRule="auto"/>
        <w:ind w:firstLine="720"/>
        <w:jc w:val="both"/>
      </w:pPr>
      <w:r w:rsidRPr="00A9207F">
        <w:t xml:space="preserve">Quality just gets better. Where diagnostic and therapeutic standards have historically differed among practitioners, AI-supported decision aids provide a consistent floor of clinical performance without detracting from the higher expertise of senior </w:t>
      </w:r>
      <w:proofErr w:type="spellStart"/>
      <w:r w:rsidRPr="00A9207F">
        <w:t>Vaidyas</w:t>
      </w:r>
      <w:proofErr w:type="spellEnd"/>
      <w:r w:rsidRPr="00A9207F">
        <w:t>.</w:t>
      </w:r>
    </w:p>
    <w:p w14:paraId="1FAEA357" w14:textId="77777777" w:rsidR="00893A29" w:rsidRPr="00A9207F" w:rsidRDefault="00893A29">
      <w:pPr>
        <w:spacing w:before="200" w:after="120" w:line="280" w:lineRule="auto"/>
        <w:jc w:val="both"/>
      </w:pPr>
    </w:p>
    <w:p w14:paraId="30CFDC98" w14:textId="40124C27" w:rsidR="00893A29" w:rsidRPr="00A9207F" w:rsidRDefault="00000000" w:rsidP="00AE7BFA">
      <w:pPr>
        <w:spacing w:before="200" w:after="120" w:line="280" w:lineRule="auto"/>
        <w:ind w:firstLine="720"/>
        <w:jc w:val="both"/>
      </w:pPr>
      <w:r w:rsidRPr="00A9207F">
        <w:lastRenderedPageBreak/>
        <w:t>The architecture itself has an intrinsic accuracy enhancement. The more clinical and research data fed into a well-designed model, the more precise and individualize its predictions become — a virtuous cycle that compounds in value over time.</w:t>
      </w:r>
    </w:p>
    <w:p w14:paraId="2DE245FC" w14:textId="1900380E" w:rsidR="00893A29" w:rsidRPr="00A9207F" w:rsidRDefault="00000000" w:rsidP="00AE7BFA">
      <w:pPr>
        <w:spacing w:before="200" w:after="120" w:line="280" w:lineRule="auto"/>
        <w:ind w:firstLine="720"/>
        <w:jc w:val="both"/>
      </w:pPr>
      <w:r w:rsidRPr="00A9207F">
        <w:t>Time efficiency is provided by automation of routine documentation, fast retrieval of pertinent clinical references, and accelerated formulation lookup. The consultation is less encumbered with administration and more of the practitioner’s attention can be left with the patient.</w:t>
      </w:r>
    </w:p>
    <w:p w14:paraId="0BD0BB63" w14:textId="38733A4B" w:rsidR="00893A29" w:rsidRPr="00A9207F" w:rsidRDefault="00000000" w:rsidP="00AE7BFA">
      <w:pPr>
        <w:spacing w:before="200" w:after="120" w:line="280" w:lineRule="auto"/>
        <w:ind w:firstLine="720"/>
        <w:jc w:val="both"/>
      </w:pPr>
      <w:r w:rsidRPr="00A9207F">
        <w:t>One of the main advantages, especially in the Indian context, is manpower optimization, in which the demand for well-trained Ayurvedic practitioners far exceeds supply, more so in the rural districts. Decision-support tools effectively broaden the scope of existing expertise without sacrificing the integrity of consultation.</w:t>
      </w:r>
    </w:p>
    <w:p w14:paraId="6EA5ECE5" w14:textId="3790147B" w:rsidR="00893A29" w:rsidRPr="00A9207F" w:rsidRDefault="00000000" w:rsidP="00AE7BFA">
      <w:pPr>
        <w:spacing w:before="200" w:after="120" w:line="280" w:lineRule="auto"/>
        <w:ind w:firstLine="720"/>
        <w:jc w:val="both"/>
      </w:pPr>
      <w:r w:rsidRPr="00A9207F">
        <w:t>Scalable learning closes the loop . The system constantly gets better as new cases and new research findings are ingested, a property that cannot be replicated in any purely human-mediated knowledge-transmission pathway.</w:t>
      </w:r>
    </w:p>
    <w:p w14:paraId="735EFE3F" w14:textId="00AB6A2D" w:rsidR="00893A29" w:rsidRPr="00AE7BFA" w:rsidRDefault="00AE7BFA">
      <w:pPr>
        <w:spacing w:before="200" w:after="120" w:line="280" w:lineRule="auto"/>
        <w:jc w:val="both"/>
        <w:rPr>
          <w:b/>
          <w:bCs/>
        </w:rPr>
      </w:pPr>
      <w:r w:rsidRPr="00AE7BFA">
        <w:rPr>
          <w:b/>
          <w:bCs/>
        </w:rPr>
        <w:t>C</w:t>
      </w:r>
      <w:r w:rsidR="00000000" w:rsidRPr="00AE7BFA">
        <w:rPr>
          <w:b/>
          <w:bCs/>
        </w:rPr>
        <w:t>onclusion</w:t>
      </w:r>
    </w:p>
    <w:p w14:paraId="00E1F60E" w14:textId="4B14EB48" w:rsidR="00893A29" w:rsidRPr="00A9207F" w:rsidRDefault="00000000" w:rsidP="00AE7BFA">
      <w:pPr>
        <w:spacing w:before="200" w:after="120" w:line="280" w:lineRule="auto"/>
        <w:ind w:firstLine="720"/>
        <w:jc w:val="both"/>
      </w:pPr>
      <w:r w:rsidRPr="00A9207F">
        <w:t>The case argued in this paper is simple in outline but difficult in execution. Artificial Intelligence provides Ayurveda with computational tools that can address three of its long-standing structural weaknesses – observer-dependent diagnosis, inconsistent documentation and limited scalability – without diluting the holistic, individualized and tradition-rooted character that defines the discipline. The proposed framework covers clinical practice, research methodology, software development and architectural design, and is explicitly aligned with a model of amplification, rather than replacement.</w:t>
      </w:r>
    </w:p>
    <w:p w14:paraId="492C2754" w14:textId="7ADEA42A" w:rsidR="00893A29" w:rsidRPr="00A9207F" w:rsidRDefault="00000000" w:rsidP="00AE7BFA">
      <w:pPr>
        <w:spacing w:before="200" w:after="120" w:line="280" w:lineRule="auto"/>
        <w:ind w:firstLine="720"/>
        <w:jc w:val="both"/>
      </w:pPr>
      <w:r w:rsidRPr="00A9207F">
        <w:t xml:space="preserve">Realizing this vision will require more than technical prowess. It will take constant ethical oversight of data privacy, constant vigilance against algorithmic bias, and the development of true working relationships between </w:t>
      </w:r>
      <w:proofErr w:type="spellStart"/>
      <w:r w:rsidRPr="00A9207F">
        <w:t>Vaidyas</w:t>
      </w:r>
      <w:proofErr w:type="spellEnd"/>
      <w:r w:rsidRPr="00A9207F">
        <w:t>, data scientists, regulators and patients. If these conditions are satisfied, then AI-enabled Ayurveda can plausibly stand among the most rigorous, reproducible and humane traditions of contemporary integrative medicine. Where they are absent, the tools that result will be disappointing at best, and damaging at worst. The Ayurvedic and computational communities now need to choose the path together.</w:t>
      </w:r>
    </w:p>
    <w:sectPr w:rsidR="00893A29" w:rsidRPr="00A9207F">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A29"/>
    <w:rsid w:val="00893A29"/>
    <w:rsid w:val="00A9207F"/>
    <w:rsid w:val="00AE7BFA"/>
    <w:rsid w:val="00E12DD2"/>
    <w:rsid w:val="5BD312DC"/>
    <w:rsid w:val="7EBB8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FF68C81"/>
  <w15:docId w15:val="{9CE90C64-07DE-7446-9D9F-CFF74D7E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lsdException w:name="caption" w:semiHidden="1" w:unhideWhenUsed="1" w:qFormat="1"/>
    <w:lsdException w:name="footnote reference" w:semiHidden="1" w:uiPriority="99" w:unhideWhenUsed="1"/>
    <w:lsdException w:name="endnote reference" w:semiHidden="1" w:uiPriority="99" w:unhideWhenUsed="1"/>
    <w:lsdException w:name="endnote text" w:semiHidden="1" w:uiPriority="99" w:unhideWhenUsed="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qFormat/>
    <w:pPr>
      <w:outlineLvl w:val="0"/>
    </w:pPr>
    <w:rPr>
      <w:color w:val="2E74B5"/>
      <w:sz w:val="32"/>
      <w:szCs w:val="32"/>
    </w:rPr>
  </w:style>
  <w:style w:type="paragraph" w:styleId="Heading2">
    <w:name w:val="heading 2"/>
    <w:next w:val="Normal"/>
    <w:qFormat/>
    <w:pPr>
      <w:outlineLvl w:val="1"/>
    </w:pPr>
    <w:rPr>
      <w:color w:val="2E74B5"/>
      <w:sz w:val="26"/>
      <w:szCs w:val="26"/>
    </w:rPr>
  </w:style>
  <w:style w:type="paragraph" w:styleId="Heading3">
    <w:name w:val="heading 3"/>
    <w:next w:val="Normal"/>
    <w:qFormat/>
    <w:pPr>
      <w:outlineLvl w:val="2"/>
    </w:pPr>
    <w:rPr>
      <w:color w:val="1F4D78"/>
      <w:sz w:val="24"/>
      <w:szCs w:val="24"/>
    </w:rPr>
  </w:style>
  <w:style w:type="paragraph" w:styleId="Heading4">
    <w:name w:val="heading 4"/>
    <w:next w:val="Normal"/>
    <w:qFormat/>
    <w:pPr>
      <w:outlineLvl w:val="3"/>
    </w:pPr>
    <w:rPr>
      <w:i/>
      <w:iCs/>
      <w:color w:val="2E74B5"/>
      <w:sz w:val="24"/>
      <w:szCs w:val="24"/>
    </w:rPr>
  </w:style>
  <w:style w:type="paragraph" w:styleId="Heading5">
    <w:name w:val="heading 5"/>
    <w:next w:val="Normal"/>
    <w:qFormat/>
    <w:pPr>
      <w:outlineLvl w:val="4"/>
    </w:pPr>
    <w:rPr>
      <w:color w:val="2E74B5"/>
      <w:sz w:val="24"/>
      <w:szCs w:val="24"/>
    </w:rPr>
  </w:style>
  <w:style w:type="paragraph" w:styleId="Heading6">
    <w:name w:val="heading 6"/>
    <w:next w:val="Normal"/>
    <w:qFormat/>
    <w:pPr>
      <w:outlineLvl w:val="5"/>
    </w:pPr>
    <w:rPr>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Hyperlink">
    <w:name w:val="Hyperlink"/>
    <w:uiPriority w:val="99"/>
    <w:unhideWhenUsed/>
    <w:rPr>
      <w:color w:val="0563C1"/>
      <w:u w:val="single"/>
    </w:rPr>
  </w:style>
  <w:style w:type="paragraph" w:styleId="Title">
    <w:name w:val="Title"/>
    <w:qFormat/>
    <w:rPr>
      <w:sz w:val="56"/>
      <w:szCs w:val="56"/>
    </w:rPr>
  </w:style>
  <w:style w:type="paragraph" w:styleId="ListParagraph">
    <w:name w:val="List Paragraph"/>
    <w:qFormat/>
    <w:rPr>
      <w:sz w:val="24"/>
      <w:szCs w:val="24"/>
    </w:rPr>
  </w:style>
  <w:style w:type="character" w:customStyle="1" w:styleId="FootnoteTextChar">
    <w:name w:val="Footnote Text Char"/>
    <w:link w:val="FootnoteText"/>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3496</Words>
  <Characters>19931</Characters>
  <Application>Microsoft Office Word</Application>
  <DocSecurity>0</DocSecurity>
  <Lines>166</Lines>
  <Paragraphs>46</Paragraphs>
  <ScaleCrop>false</ScaleCrop>
  <Company/>
  <LinksUpToDate>false</LinksUpToDate>
  <CharactersWithSpaces>23381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AI-Enabled Ayurveda</dc:title>
  <dc:creator>Editorial polish</dc:creator>
  <dc:description>Journal-format manuscript</dc:description>
  <cp:lastModifiedBy>Sudev C</cp:lastModifiedBy>
  <cp:revision>3</cp:revision>
  <dcterms:created xsi:type="dcterms:W3CDTF">2026-05-15T12:05:00Z</dcterms:created>
  <dcterms:modified xsi:type="dcterms:W3CDTF">2026-05-15T12:19:00Z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1033-12.1.23155.23155</vt:lpwstr>
  </property>
  <property fmtid="{D5CDD505-2E9C-101B-9397-08002B2CF9AE}" pid="3" name="ICV">
    <vt:lpwstr>19694D6DDED0ADFEFC09076A72FA1B34_42</vt:lpwstr>
  </property>
</Properties>
</file>